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 w:hAnsi="楷体" w:eastAsia="黑体"/>
          <w:b/>
          <w:bCs/>
          <w:color w:val="000000"/>
          <w:sz w:val="28"/>
          <w:szCs w:val="28"/>
        </w:rPr>
      </w:pPr>
      <w:r>
        <w:rPr>
          <w:rFonts w:hint="eastAsia" w:ascii="黑体" w:hAnsi="黑体" w:eastAsia="黑体"/>
          <w:bCs/>
          <w:color w:val="000000"/>
          <w:sz w:val="32"/>
          <w:szCs w:val="32"/>
        </w:rPr>
        <w:t>附件3</w:t>
      </w:r>
    </w:p>
    <w:p>
      <w:pPr>
        <w:spacing w:line="560" w:lineRule="exact"/>
        <w:jc w:val="center"/>
        <w:rPr>
          <w:rFonts w:ascii="微软雅黑" w:hAnsi="华文中宋" w:eastAsia="微软雅黑"/>
          <w:color w:val="000000"/>
          <w:sz w:val="44"/>
          <w:szCs w:val="36"/>
        </w:rPr>
      </w:pPr>
      <w:r>
        <w:rPr>
          <w:rFonts w:hint="eastAsia" w:ascii="微软雅黑" w:hAnsi="华文中宋" w:eastAsia="微软雅黑"/>
          <w:color w:val="000000"/>
          <w:sz w:val="44"/>
          <w:szCs w:val="36"/>
        </w:rPr>
        <w:t>视听设计（新闻漫画）参评作品推荐表</w:t>
      </w:r>
    </w:p>
    <w:tbl>
      <w:tblPr>
        <w:tblStyle w:val="4"/>
        <w:tblW w:w="51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82"/>
        <w:gridCol w:w="109"/>
        <w:gridCol w:w="471"/>
        <w:gridCol w:w="504"/>
        <w:gridCol w:w="1226"/>
        <w:gridCol w:w="365"/>
        <w:gridCol w:w="567"/>
        <w:gridCol w:w="340"/>
        <w:gridCol w:w="518"/>
        <w:gridCol w:w="523"/>
        <w:gridCol w:w="309"/>
        <w:gridCol w:w="572"/>
        <w:gridCol w:w="162"/>
        <w:gridCol w:w="719"/>
        <w:gridCol w:w="161"/>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704" w:type="pct"/>
            <w:gridSpan w:val="3"/>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1991" w:type="pct"/>
            <w:gridSpan w:val="6"/>
            <w:vAlign w:val="center"/>
          </w:tcPr>
          <w:p>
            <w:pPr>
              <w:widowControl/>
              <w:spacing w:line="240" w:lineRule="exact"/>
              <w:rPr>
                <w:rFonts w:ascii="仿宋" w:hAnsi="仿宋" w:eastAsia="仿宋" w:cs="仿宋"/>
                <w:color w:val="000000"/>
                <w:szCs w:val="15"/>
              </w:rPr>
            </w:pPr>
            <w:r>
              <w:rPr>
                <w:rFonts w:hint="eastAsia" w:ascii="仿宋" w:hAnsi="仿宋" w:eastAsia="仿宋" w:cs="仿宋"/>
                <w:color w:val="000000"/>
                <w:szCs w:val="15"/>
              </w:rPr>
              <w:t>“通通”呼游记</w:t>
            </w:r>
          </w:p>
        </w:tc>
        <w:tc>
          <w:tcPr>
            <w:tcW w:w="774" w:type="pct"/>
            <w:gridSpan w:val="3"/>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1530" w:type="pct"/>
            <w:gridSpan w:val="5"/>
            <w:vAlign w:val="center"/>
          </w:tcPr>
          <w:p>
            <w:pPr>
              <w:spacing w:line="440" w:lineRule="exact"/>
              <w:jc w:val="center"/>
              <w:rPr>
                <w:rFonts w:ascii="仿宋" w:hAnsi="仿宋" w:eastAsia="仿宋"/>
                <w:color w:val="000000"/>
                <w:sz w:val="28"/>
              </w:rPr>
            </w:pPr>
            <w:r>
              <w:rPr>
                <w:rFonts w:hint="eastAsia" w:ascii="仿宋" w:hAnsi="仿宋" w:eastAsia="仿宋"/>
                <w:color w:val="000000"/>
                <w:sz w:val="21"/>
                <w:szCs w:val="21"/>
              </w:rPr>
              <w:t>新闻漫画</w:t>
            </w:r>
            <w:r>
              <w:rPr>
                <w:rFonts w:hint="eastAsia" w:ascii="仿宋" w:hAnsi="仿宋" w:eastAsia="仿宋"/>
                <w:color w:val="000000"/>
                <w:sz w:val="21"/>
                <w:szCs w:val="21"/>
                <w:u w:val="single"/>
              </w:rPr>
              <w:t xml:space="preserve"> 组画</w:t>
            </w:r>
            <w:r>
              <w:rPr>
                <w:rFonts w:hint="eastAsia" w:ascii="仿宋" w:hAnsi="仿宋" w:eastAsia="仿宋"/>
                <w:color w:val="000000"/>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704" w:type="pct"/>
            <w:gridSpan w:val="3"/>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1991" w:type="pct"/>
            <w:gridSpan w:val="6"/>
            <w:vAlign w:val="center"/>
          </w:tcPr>
          <w:p>
            <w:pPr>
              <w:spacing w:line="240" w:lineRule="exact"/>
              <w:rPr>
                <w:rFonts w:ascii="仿宋" w:hAnsi="仿宋" w:eastAsia="仿宋" w:cs="仿宋"/>
                <w:color w:val="000000"/>
                <w:szCs w:val="15"/>
              </w:rPr>
            </w:pPr>
            <w:r>
              <w:rPr>
                <w:rFonts w:hint="eastAsia" w:ascii="仿宋" w:hAnsi="仿宋" w:eastAsia="仿宋" w:cs="仿宋"/>
                <w:color w:val="000000"/>
                <w:szCs w:val="15"/>
              </w:rPr>
              <w:t>胡日恒 张静雯</w:t>
            </w:r>
          </w:p>
        </w:tc>
        <w:tc>
          <w:tcPr>
            <w:tcW w:w="774" w:type="pct"/>
            <w:gridSpan w:val="3"/>
            <w:vAlign w:val="center"/>
          </w:tcPr>
          <w:p>
            <w:pPr>
              <w:widowControl/>
              <w:spacing w:line="400" w:lineRule="exact"/>
              <w:jc w:val="center"/>
              <w:rPr>
                <w:rFonts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1530" w:type="pct"/>
            <w:gridSpan w:val="5"/>
            <w:vAlign w:val="center"/>
          </w:tcPr>
          <w:p>
            <w:pPr>
              <w:widowControl/>
              <w:spacing w:line="240" w:lineRule="exact"/>
              <w:rPr>
                <w:rFonts w:ascii="仿宋" w:hAnsi="仿宋" w:eastAsia="仿宋" w:cs="仿宋"/>
                <w:color w:val="000000"/>
                <w:szCs w:val="15"/>
              </w:rPr>
            </w:pPr>
            <w:r>
              <w:rPr>
                <w:rFonts w:hint="eastAsia" w:ascii="仿宋" w:hAnsi="仿宋" w:eastAsia="仿宋" w:cs="仿宋"/>
                <w:color w:val="000000"/>
                <w:szCs w:val="15"/>
              </w:rPr>
              <w:t xml:space="preserve">程昱 </w:t>
            </w:r>
            <w:bookmarkStart w:id="0" w:name="_GoBack"/>
            <w:bookmarkEnd w:id="0"/>
            <w:r>
              <w:rPr>
                <w:rFonts w:hint="eastAsia" w:ascii="仿宋" w:hAnsi="仿宋" w:eastAsia="仿宋" w:cs="仿宋"/>
                <w:color w:val="000000"/>
                <w:szCs w:val="15"/>
              </w:rPr>
              <w:t>曾静怡 阿荣娜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974" w:type="pct"/>
            <w:gridSpan w:val="4"/>
            <w:vAlign w:val="center"/>
          </w:tcPr>
          <w:p>
            <w:pPr>
              <w:widowControl/>
              <w:spacing w:line="300" w:lineRule="exact"/>
              <w:jc w:val="center"/>
              <w:rPr>
                <w:rFonts w:ascii="华文中宋" w:hAnsi="华文中宋" w:eastAsia="华文中宋"/>
                <w:sz w:val="28"/>
                <w:szCs w:val="20"/>
              </w:rPr>
            </w:pPr>
            <w:r>
              <w:rPr>
                <w:rFonts w:hint="eastAsia" w:ascii="华文中宋" w:hAnsi="华文中宋" w:eastAsia="华文中宋"/>
                <w:color w:val="000000"/>
                <w:sz w:val="28"/>
                <w:szCs w:val="20"/>
              </w:rPr>
              <w:t>原创单位</w:t>
            </w:r>
          </w:p>
        </w:tc>
        <w:tc>
          <w:tcPr>
            <w:tcW w:w="1720" w:type="pct"/>
            <w:gridSpan w:val="5"/>
            <w:vAlign w:val="center"/>
          </w:tcPr>
          <w:p>
            <w:pPr>
              <w:spacing w:line="240" w:lineRule="exact"/>
              <w:rPr>
                <w:rFonts w:ascii="仿宋" w:hAnsi="仿宋" w:eastAsia="仿宋" w:cs="仿宋"/>
                <w:color w:val="000000"/>
                <w:szCs w:val="15"/>
              </w:rPr>
            </w:pPr>
            <w:r>
              <w:rPr>
                <w:rFonts w:hint="eastAsia" w:ascii="仿宋" w:hAnsi="仿宋" w:eastAsia="仿宋" w:cs="仿宋"/>
                <w:color w:val="000000"/>
                <w:spacing w:val="-6"/>
                <w:szCs w:val="15"/>
              </w:rPr>
              <w:t>呼和浩特市融媒体中心</w:t>
            </w:r>
          </w:p>
        </w:tc>
        <w:tc>
          <w:tcPr>
            <w:tcW w:w="774" w:type="pct"/>
            <w:gridSpan w:val="3"/>
            <w:vAlign w:val="center"/>
          </w:tcPr>
          <w:p>
            <w:pPr>
              <w:widowControl/>
              <w:spacing w:line="400" w:lineRule="exact"/>
              <w:jc w:val="center"/>
              <w:rPr>
                <w:rFonts w:ascii="仿宋_GB2312" w:hAnsi="仿宋" w:eastAsia="仿宋_GB2312"/>
                <w:b/>
                <w:sz w:val="28"/>
                <w:szCs w:val="28"/>
              </w:rPr>
            </w:pPr>
            <w:r>
              <w:rPr>
                <w:rFonts w:hint="eastAsia" w:ascii="华文中宋" w:hAnsi="华文中宋" w:eastAsia="华文中宋"/>
                <w:sz w:val="28"/>
                <w:szCs w:val="20"/>
              </w:rPr>
              <w:t>发布日期</w:t>
            </w:r>
          </w:p>
        </w:tc>
        <w:tc>
          <w:tcPr>
            <w:tcW w:w="1530" w:type="pct"/>
            <w:gridSpan w:val="5"/>
            <w:vAlign w:val="center"/>
          </w:tcPr>
          <w:p>
            <w:pPr>
              <w:widowControl/>
              <w:spacing w:line="400" w:lineRule="exact"/>
              <w:jc w:val="center"/>
              <w:rPr>
                <w:rFonts w:ascii="仿宋_GB2312" w:hAnsi="仿宋" w:eastAsia="仿宋_GB2312"/>
                <w:sz w:val="24"/>
              </w:rPr>
            </w:pPr>
            <w:r>
              <w:rPr>
                <w:rFonts w:hint="eastAsia" w:ascii="华文中宋" w:hAnsi="华文中宋" w:eastAsia="华文中宋"/>
                <w:sz w:val="24"/>
              </w:rPr>
              <w:t>2025年 10 月 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974" w:type="pct"/>
            <w:gridSpan w:val="4"/>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所配合的</w:t>
            </w:r>
          </w:p>
          <w:p>
            <w:pPr>
              <w:widowControl/>
              <w:spacing w:line="300" w:lineRule="exact"/>
              <w:jc w:val="center"/>
              <w:rPr>
                <w:rFonts w:ascii="仿宋_GB2312" w:hAnsi="仿宋" w:eastAsia="仿宋_GB2312"/>
                <w:color w:val="000000"/>
                <w:sz w:val="24"/>
              </w:rPr>
            </w:pPr>
            <w:r>
              <w:rPr>
                <w:rFonts w:hint="eastAsia" w:ascii="华文中宋" w:hAnsi="华文中宋" w:eastAsia="华文中宋"/>
                <w:color w:val="000000"/>
                <w:sz w:val="24"/>
              </w:rPr>
              <w:t>文字报道标题</w:t>
            </w:r>
          </w:p>
        </w:tc>
        <w:tc>
          <w:tcPr>
            <w:tcW w:w="1526" w:type="pct"/>
            <w:gridSpan w:val="4"/>
            <w:vAlign w:val="center"/>
          </w:tcPr>
          <w:p>
            <w:pPr>
              <w:widowControl/>
              <w:snapToGrid w:val="0"/>
              <w:rPr>
                <w:rFonts w:ascii="仿宋_GB2312" w:hAnsi="仿宋" w:eastAsia="仿宋_GB2312"/>
                <w:color w:val="000000"/>
                <w:sz w:val="28"/>
                <w:szCs w:val="28"/>
              </w:rPr>
            </w:pPr>
            <w:r>
              <w:rPr>
                <w:rFonts w:hint="eastAsia" w:ascii="仿宋" w:hAnsi="仿宋" w:eastAsia="仿宋"/>
                <w:color w:val="000000"/>
                <w:szCs w:val="21"/>
              </w:rPr>
              <w:t>“通通”呼游记上线！</w:t>
            </w:r>
          </w:p>
        </w:tc>
        <w:tc>
          <w:tcPr>
            <w:tcW w:w="967" w:type="pct"/>
            <w:gridSpan w:val="4"/>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刊发版面</w:t>
            </w:r>
          </w:p>
          <w:p>
            <w:pPr>
              <w:widowControl/>
              <w:snapToGrid w:val="0"/>
              <w:spacing w:line="300" w:lineRule="exact"/>
              <w:jc w:val="center"/>
              <w:rPr>
                <w:rFonts w:ascii="华文中宋" w:hAnsi="华文中宋" w:eastAsia="华文中宋"/>
                <w:color w:val="000000"/>
                <w:szCs w:val="21"/>
              </w:rPr>
            </w:pPr>
            <w:r>
              <w:rPr>
                <w:rFonts w:hint="eastAsia" w:ascii="华文中宋" w:hAnsi="华文中宋" w:eastAsia="华文中宋"/>
                <w:color w:val="000000"/>
                <w:sz w:val="16"/>
                <w:szCs w:val="16"/>
              </w:rPr>
              <w:t>(发布端/账号/版次</w:t>
            </w:r>
            <w:r>
              <w:rPr>
                <w:rFonts w:ascii="华文中宋" w:hAnsi="华文中宋" w:eastAsia="华文中宋"/>
                <w:color w:val="000000"/>
                <w:sz w:val="16"/>
                <w:szCs w:val="16"/>
              </w:rPr>
              <w:t xml:space="preserve"> </w:t>
            </w:r>
            <w:r>
              <w:rPr>
                <w:rFonts w:hint="eastAsia" w:ascii="华文中宋" w:hAnsi="华文中宋" w:eastAsia="华文中宋"/>
                <w:color w:val="000000"/>
                <w:sz w:val="16"/>
                <w:szCs w:val="16"/>
              </w:rPr>
              <w:t>)</w:t>
            </w:r>
          </w:p>
        </w:tc>
        <w:tc>
          <w:tcPr>
            <w:tcW w:w="1530" w:type="pct"/>
            <w:gridSpan w:val="5"/>
            <w:vAlign w:val="center"/>
          </w:tcPr>
          <w:p>
            <w:pPr>
              <w:widowControl/>
              <w:spacing w:line="240" w:lineRule="exact"/>
              <w:rPr>
                <w:rFonts w:ascii="仿宋" w:hAnsi="仿宋" w:eastAsia="仿宋" w:cs="仿宋"/>
                <w:color w:val="000000"/>
                <w:szCs w:val="15"/>
              </w:rPr>
            </w:pPr>
            <w:r>
              <w:rPr>
                <w:rFonts w:hint="eastAsia" w:ascii="仿宋" w:hAnsi="仿宋" w:eastAsia="仿宋" w:cs="仿宋"/>
                <w:color w:val="000000"/>
                <w:szCs w:val="15"/>
              </w:rPr>
              <w:t>“青橙融媒”微信公众号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jc w:val="center"/>
        </w:trPr>
        <w:tc>
          <w:tcPr>
            <w:tcW w:w="974" w:type="pct"/>
            <w:gridSpan w:val="4"/>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新媒体作品</w:t>
            </w:r>
          </w:p>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网址</w:t>
            </w:r>
          </w:p>
        </w:tc>
        <w:tc>
          <w:tcPr>
            <w:tcW w:w="2494" w:type="pct"/>
            <w:gridSpan w:val="8"/>
            <w:vAlign w:val="center"/>
          </w:tcPr>
          <w:p>
            <w:pPr>
              <w:widowControl/>
              <w:spacing w:line="240" w:lineRule="exact"/>
              <w:jc w:val="left"/>
              <w:rPr>
                <w:rFonts w:ascii="仿宋" w:hAnsi="仿宋" w:eastAsia="仿宋" w:cs="仿宋"/>
                <w:color w:val="000000"/>
                <w:szCs w:val="15"/>
              </w:rPr>
            </w:pPr>
            <w:r>
              <w:rPr>
                <w:rFonts w:ascii="仿宋" w:hAnsi="仿宋" w:eastAsia="仿宋"/>
                <w:color w:val="000000"/>
                <w:szCs w:val="21"/>
              </w:rPr>
              <w:t>https://mp.weixin.qq.com/s/uigyYy-cUxHwxlvtma0i5w</w:t>
            </w:r>
          </w:p>
        </w:tc>
        <w:tc>
          <w:tcPr>
            <w:tcW w:w="833" w:type="pct"/>
            <w:gridSpan w:val="3"/>
            <w:vAlign w:val="center"/>
          </w:tcPr>
          <w:p>
            <w:pPr>
              <w:spacing w:line="3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0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697" w:type="pct"/>
            <w:gridSpan w:val="2"/>
            <w:vAlign w:val="center"/>
          </w:tcPr>
          <w:p>
            <w:pPr>
              <w:spacing w:line="260" w:lineRule="exact"/>
              <w:rPr>
                <w:rFonts w:ascii="华文中宋" w:hAnsi="华文中宋" w:eastAsia="华文中宋"/>
                <w:color w:val="000000"/>
                <w:sz w:val="28"/>
                <w:szCs w:val="22"/>
              </w:rPr>
            </w:pPr>
            <w:r>
              <w:rPr>
                <w:rFonts w:hint="eastAsia" w:ascii="华文中宋" w:hAnsi="华文中宋" w:eastAsia="华文中宋"/>
                <w:color w:val="000000"/>
                <w:sz w:val="28"/>
                <w:szCs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4" w:hRule="exact"/>
          <w:jc w:val="center"/>
        </w:trPr>
        <w:tc>
          <w:tcPr>
            <w:tcW w:w="538" w:type="pc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pPr>
              <w:widowControl/>
              <w:spacing w:line="320" w:lineRule="exact"/>
              <w:jc w:val="center"/>
              <w:rPr>
                <w:rFonts w:ascii="仿宋_GB2312" w:hAnsi="仿宋" w:eastAsia="仿宋_GB2312"/>
                <w:b/>
                <w:color w:val="000000"/>
                <w:sz w:val="28"/>
                <w:szCs w:val="28"/>
              </w:rPr>
            </w:pPr>
            <w:r>
              <w:rPr>
                <w:rFonts w:hint="eastAsia" w:ascii="华文中宋" w:hAnsi="华文中宋" w:eastAsia="华文中宋"/>
                <w:color w:val="000000"/>
                <w:sz w:val="28"/>
              </w:rPr>
              <w:t>介</w:t>
            </w:r>
          </w:p>
        </w:tc>
        <w:tc>
          <w:tcPr>
            <w:tcW w:w="4461" w:type="pct"/>
            <w:gridSpan w:val="16"/>
            <w:vAlign w:val="center"/>
          </w:tcPr>
          <w:p>
            <w:pPr>
              <w:widowControl/>
              <w:spacing w:line="240" w:lineRule="exact"/>
              <w:ind w:firstLine="315" w:firstLineChars="150"/>
              <w:jc w:val="left"/>
              <w:rPr>
                <w:rFonts w:ascii="仿宋" w:hAnsi="仿宋" w:eastAsia="仿宋" w:cs="仿宋"/>
                <w:color w:val="000000"/>
                <w:szCs w:val="15"/>
              </w:rPr>
            </w:pPr>
            <w:r>
              <w:rPr>
                <w:rFonts w:hint="eastAsia" w:ascii="仿宋" w:hAnsi="仿宋" w:eastAsia="仿宋" w:cs="仿宋"/>
                <w:color w:val="000000"/>
                <w:szCs w:val="15"/>
              </w:rPr>
              <w:t>《“通通”游呼记》漫画为一组以“手绘+视觉设计”为核心，融合赛事热点与地域文化的融媒体视觉宣传作品。该漫画围绕文稿精准筛选素材、精细调整版面布局，兼顾美学表达与内容专业度。漫画将呼和浩特烧卖与通辽馅饼拟人化为“通通”“呼呼”，以角色行程、时间轴串联青城城市风貌，通过趣味对话传递城市内涵，融合青城建筑手绘图强化地域辨识度，让文旅信息与赛事宣传结合，增强了读者代的入感。</w:t>
            </w:r>
          </w:p>
          <w:p>
            <w:pPr>
              <w:widowControl/>
              <w:spacing w:line="240" w:lineRule="exact"/>
              <w:ind w:firstLine="315" w:firstLineChars="150"/>
              <w:jc w:val="left"/>
              <w:rPr>
                <w:rFonts w:ascii="仿宋" w:hAnsi="仿宋" w:eastAsia="仿宋" w:cs="仿宋"/>
                <w:color w:val="000000"/>
                <w:szCs w:val="15"/>
              </w:rPr>
            </w:pPr>
            <w:r>
              <w:rPr>
                <w:rFonts w:hint="eastAsia" w:ascii="仿宋" w:hAnsi="仿宋" w:eastAsia="仿宋" w:cs="仿宋"/>
                <w:color w:val="000000"/>
                <w:szCs w:val="15"/>
              </w:rPr>
              <w:t>该漫画发布后，凭借新颖的创意、鲜明的地域特色和优质的视觉表达，实现了良好的传播效果与社会效应，成为“蒙超”赛事宣传的亮点。有效提升了“蒙超”赛事的公众知晓度和关注度，让读者在了解赛事的同时，感受内蒙古的地域风情，有效增强了群众的文化认同感与自豪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exact"/>
          <w:jc w:val="center"/>
        </w:trPr>
        <w:tc>
          <w:tcPr>
            <w:tcW w:w="538" w:type="pct"/>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rPr>
              <w:t>据</w:t>
            </w:r>
          </w:p>
        </w:tc>
        <w:tc>
          <w:tcPr>
            <w:tcW w:w="725" w:type="pct"/>
            <w:gridSpan w:val="4"/>
            <w:vAlign w:val="center"/>
          </w:tcPr>
          <w:p>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3736" w:type="pct"/>
            <w:gridSpan w:val="12"/>
            <w:vAlign w:val="center"/>
          </w:tcPr>
          <w:p>
            <w:pPr>
              <w:spacing w:line="280" w:lineRule="exact"/>
              <w:rPr>
                <w:rFonts w:ascii="仿宋" w:hAnsi="仿宋" w:eastAsia="仿宋"/>
                <w:color w:val="000000"/>
                <w:szCs w:val="21"/>
              </w:rPr>
            </w:pPr>
            <w:r>
              <w:rPr>
                <w:rFonts w:ascii="仿宋" w:hAnsi="仿宋" w:eastAsia="仿宋"/>
                <w:color w:val="000000"/>
                <w:szCs w:val="21"/>
              </w:rPr>
              <w:t>https://mp.weixin.qq.com/s/uigyYy-cUxHwxlvtma0i5w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exact"/>
          <w:jc w:val="center"/>
        </w:trPr>
        <w:tc>
          <w:tcPr>
            <w:tcW w:w="538" w:type="pct"/>
            <w:vMerge w:val="continue"/>
            <w:vAlign w:val="center"/>
          </w:tcPr>
          <w:p>
            <w:pPr>
              <w:spacing w:line="320" w:lineRule="exact"/>
              <w:jc w:val="center"/>
              <w:rPr>
                <w:rFonts w:ascii="华文中宋" w:hAnsi="华文中宋" w:eastAsia="华文中宋"/>
                <w:color w:val="000000"/>
                <w:sz w:val="28"/>
              </w:rPr>
            </w:pPr>
          </w:p>
        </w:tc>
        <w:tc>
          <w:tcPr>
            <w:tcW w:w="725" w:type="pct"/>
            <w:gridSpan w:val="4"/>
            <w:vAlign w:val="center"/>
          </w:tcPr>
          <w:p>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703" w:type="pct"/>
            <w:vAlign w:val="center"/>
          </w:tcPr>
          <w:p>
            <w:pPr>
              <w:spacing w:line="240" w:lineRule="exact"/>
              <w:rPr>
                <w:rFonts w:ascii="仿宋" w:hAnsi="仿宋" w:eastAsia="仿宋"/>
                <w:color w:val="000000"/>
                <w:szCs w:val="21"/>
              </w:rPr>
            </w:pPr>
            <w:r>
              <w:rPr>
                <w:rFonts w:ascii="仿宋" w:hAnsi="仿宋" w:eastAsia="仿宋"/>
                <w:color w:val="000000"/>
                <w:szCs w:val="21"/>
              </w:rPr>
              <w:t>1500+</w:t>
            </w:r>
          </w:p>
        </w:tc>
        <w:tc>
          <w:tcPr>
            <w:tcW w:w="533" w:type="pct"/>
            <w:gridSpan w:val="2"/>
            <w:vAlign w:val="center"/>
          </w:tcPr>
          <w:p>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1297" w:type="pct"/>
            <w:gridSpan w:val="5"/>
            <w:vAlign w:val="center"/>
          </w:tcPr>
          <w:p>
            <w:pPr>
              <w:spacing w:line="240" w:lineRule="exact"/>
              <w:rPr>
                <w:rFonts w:ascii="仿宋" w:hAnsi="仿宋" w:eastAsia="仿宋"/>
                <w:color w:val="000000"/>
                <w:szCs w:val="21"/>
              </w:rPr>
            </w:pPr>
            <w:r>
              <w:rPr>
                <w:rFonts w:ascii="仿宋" w:hAnsi="仿宋" w:eastAsia="仿宋"/>
                <w:color w:val="000000"/>
                <w:szCs w:val="21"/>
              </w:rPr>
              <w:t>100+</w:t>
            </w:r>
          </w:p>
        </w:tc>
        <w:tc>
          <w:tcPr>
            <w:tcW w:w="597" w:type="pct"/>
            <w:gridSpan w:val="3"/>
            <w:vAlign w:val="center"/>
          </w:tcPr>
          <w:p>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603" w:type="pct"/>
            <w:vAlign w:val="center"/>
          </w:tcPr>
          <w:p>
            <w:pPr>
              <w:spacing w:line="240" w:lineRule="exact"/>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538" w:type="pct"/>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初推</w:t>
            </w:r>
          </w:p>
          <w:p>
            <w:pPr>
              <w:spacing w:line="320" w:lineRule="exact"/>
              <w:jc w:val="center"/>
              <w:rPr>
                <w:rFonts w:ascii="华文中宋" w:hAnsi="华文中宋" w:eastAsia="华文中宋"/>
                <w:sz w:val="28"/>
              </w:rPr>
            </w:pPr>
            <w:r>
              <w:rPr>
                <w:rFonts w:hint="eastAsia" w:ascii="华文中宋" w:hAnsi="华文中宋" w:eastAsia="华文中宋"/>
                <w:sz w:val="28"/>
              </w:rPr>
              <w:t>评荐</w:t>
            </w:r>
          </w:p>
          <w:p>
            <w:pPr>
              <w:spacing w:line="320" w:lineRule="exact"/>
              <w:jc w:val="center"/>
              <w:rPr>
                <w:rFonts w:ascii="华文中宋" w:hAnsi="华文中宋" w:eastAsia="华文中宋"/>
                <w:sz w:val="28"/>
              </w:rPr>
            </w:pPr>
            <w:r>
              <w:rPr>
                <w:rFonts w:hint="eastAsia" w:ascii="华文中宋" w:hAnsi="华文中宋" w:eastAsia="华文中宋"/>
                <w:sz w:val="28"/>
              </w:rPr>
              <w:t>评理</w:t>
            </w:r>
          </w:p>
          <w:p>
            <w:pPr>
              <w:spacing w:line="320" w:lineRule="exact"/>
              <w:jc w:val="center"/>
              <w:rPr>
                <w:rFonts w:ascii="华文中宋" w:hAnsi="华文中宋" w:eastAsia="华文中宋"/>
                <w:sz w:val="28"/>
              </w:rPr>
            </w:pPr>
            <w:r>
              <w:rPr>
                <w:rFonts w:hint="eastAsia" w:ascii="华文中宋" w:hAnsi="华文中宋" w:eastAsia="华文中宋"/>
                <w:sz w:val="28"/>
              </w:rPr>
              <w:t>语由</w:t>
            </w:r>
          </w:p>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sz w:val="28"/>
              </w:rPr>
              <w:t xml:space="preserve">  ︶</w:t>
            </w:r>
          </w:p>
        </w:tc>
        <w:tc>
          <w:tcPr>
            <w:tcW w:w="4461" w:type="pct"/>
            <w:gridSpan w:val="16"/>
            <w:vAlign w:val="center"/>
          </w:tcPr>
          <w:p>
            <w:pPr>
              <w:widowControl/>
              <w:spacing w:line="360" w:lineRule="exact"/>
              <w:ind w:firstLine="315" w:firstLineChars="150"/>
              <w:jc w:val="left"/>
              <w:rPr>
                <w:rFonts w:ascii="华文中宋" w:hAnsi="华文中宋" w:eastAsia="华文中宋"/>
                <w:sz w:val="28"/>
                <w:szCs w:val="20"/>
              </w:rPr>
            </w:pPr>
            <w:r>
              <w:rPr>
                <w:rFonts w:hint="eastAsia" w:ascii="仿宋" w:hAnsi="仿宋" w:eastAsia="仿宋" w:cs="仿宋"/>
                <w:color w:val="000000"/>
                <w:szCs w:val="15"/>
              </w:rPr>
              <w:t xml:space="preserve">该漫画视觉表达鲜明、内容设计精巧，拟人化形象极具亲和力，地域元素运用恰到好处，既点燃了公众的观赛热情，又增强了本土文化认同，同时创新了体育赛事融媒宣传形式。是融媒体环境下区域媒体体育宣传与本土文化传播深度融合的优秀佳作，符合内蒙古新闻奖参评标准，同意推荐参评。  </w:t>
            </w:r>
            <w:r>
              <w:rPr>
                <w:rFonts w:hint="eastAsia" w:ascii="华文中宋" w:hAnsi="华文中宋" w:eastAsia="华文中宋"/>
                <w:sz w:val="28"/>
                <w:szCs w:val="20"/>
              </w:rPr>
              <w:t xml:space="preserve">                                      </w:t>
            </w:r>
          </w:p>
          <w:p>
            <w:pPr>
              <w:widowControl/>
              <w:spacing w:line="360" w:lineRule="exact"/>
              <w:ind w:firstLine="5040" w:firstLineChars="1800"/>
              <w:jc w:val="left"/>
              <w:rPr>
                <w:rFonts w:ascii="仿宋" w:hAnsi="仿宋" w:eastAsia="仿宋"/>
                <w:color w:val="000000"/>
                <w:szCs w:val="21"/>
              </w:rPr>
            </w:pPr>
            <w:r>
              <w:rPr>
                <w:rFonts w:hint="eastAsia" w:ascii="华文中宋" w:hAnsi="华文中宋" w:eastAsia="华文中宋"/>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ind w:firstLine="3920" w:firstLineChars="1400"/>
              <w:rPr>
                <w:rFonts w:ascii="华文中宋" w:hAnsi="华文中宋" w:eastAsia="华文中宋"/>
                <w:sz w:val="28"/>
                <w:szCs w:val="20"/>
              </w:rPr>
            </w:pPr>
            <w:r>
              <w:rPr>
                <w:rFonts w:hint="eastAsia" w:ascii="华文中宋" w:hAnsi="华文中宋" w:eastAsia="华文中宋"/>
                <w:sz w:val="28"/>
                <w:szCs w:val="20"/>
              </w:rPr>
              <w:t xml:space="preserve">       2026年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642" w:type="pct"/>
            <w:gridSpan w:val="2"/>
            <w:vAlign w:val="center"/>
          </w:tcPr>
          <w:p>
            <w:pPr>
              <w:widowControl/>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联系人</w:t>
            </w:r>
          </w:p>
        </w:tc>
        <w:tc>
          <w:tcPr>
            <w:tcW w:w="1533" w:type="pct"/>
            <w:gridSpan w:val="5"/>
            <w:vAlign w:val="center"/>
          </w:tcPr>
          <w:p>
            <w:pPr>
              <w:widowControl/>
              <w:snapToGrid w:val="0"/>
              <w:rPr>
                <w:rFonts w:ascii="仿宋_GB2312" w:hAnsi="仿宋" w:eastAsia="仿宋_GB2312"/>
                <w:color w:val="000000"/>
                <w:sz w:val="28"/>
                <w:szCs w:val="28"/>
              </w:rPr>
            </w:pPr>
          </w:p>
        </w:tc>
        <w:tc>
          <w:tcPr>
            <w:tcW w:w="817" w:type="pct"/>
            <w:gridSpan w:val="3"/>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006" w:type="pct"/>
            <w:gridSpan w:val="7"/>
            <w:vAlign w:val="center"/>
          </w:tcPr>
          <w:p>
            <w:pPr>
              <w:widowControl/>
              <w:snapToGrid w:val="0"/>
              <w:rPr>
                <w:rFonts w:ascii="华文中宋" w:hAnsi="华文中宋" w:eastAsia="华文中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jc w:val="center"/>
        </w:trPr>
        <w:tc>
          <w:tcPr>
            <w:tcW w:w="642" w:type="pct"/>
            <w:gridSpan w:val="2"/>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533" w:type="pct"/>
            <w:gridSpan w:val="5"/>
            <w:vAlign w:val="center"/>
          </w:tcPr>
          <w:p>
            <w:pPr>
              <w:widowControl/>
              <w:snapToGrid w:val="0"/>
              <w:rPr>
                <w:rFonts w:ascii="仿宋_GB2312" w:hAnsi="仿宋" w:eastAsia="仿宋_GB2312"/>
                <w:color w:val="000000"/>
                <w:sz w:val="28"/>
                <w:szCs w:val="28"/>
              </w:rPr>
            </w:pPr>
          </w:p>
        </w:tc>
        <w:tc>
          <w:tcPr>
            <w:tcW w:w="817" w:type="pct"/>
            <w:gridSpan w:val="3"/>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2006" w:type="pct"/>
            <w:gridSpan w:val="7"/>
            <w:vAlign w:val="center"/>
          </w:tcPr>
          <w:p>
            <w:pPr>
              <w:widowControl/>
              <w:snapToGrid w:val="0"/>
              <w:rPr>
                <w:rFonts w:ascii="仿宋_GB2312" w:hAnsi="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642" w:type="pct"/>
            <w:gridSpan w:val="2"/>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2650" w:type="pct"/>
            <w:gridSpan w:val="9"/>
            <w:vAlign w:val="center"/>
          </w:tcPr>
          <w:p>
            <w:pPr>
              <w:widowControl/>
              <w:snapToGrid w:val="0"/>
              <w:rPr>
                <w:rFonts w:ascii="仿宋_GB2312" w:hAnsi="仿宋" w:eastAsia="仿宋_GB2312"/>
                <w:color w:val="000000"/>
                <w:sz w:val="24"/>
              </w:rPr>
            </w:pPr>
          </w:p>
        </w:tc>
        <w:tc>
          <w:tcPr>
            <w:tcW w:w="598" w:type="pct"/>
            <w:gridSpan w:val="3"/>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1108" w:type="pct"/>
            <w:gridSpan w:val="3"/>
            <w:vAlign w:val="center"/>
          </w:tcPr>
          <w:p>
            <w:pPr>
              <w:widowControl/>
              <w:snapToGrid w:val="0"/>
              <w:rPr>
                <w:rFonts w:ascii="仿宋_GB2312" w:hAnsi="仿宋" w:eastAsia="仿宋_GB2312"/>
                <w:color w:val="000000"/>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05C"/>
    <w:rsid w:val="00186342"/>
    <w:rsid w:val="0019405C"/>
    <w:rsid w:val="00333BFB"/>
    <w:rsid w:val="006526B5"/>
    <w:rsid w:val="00657A41"/>
    <w:rsid w:val="006857D2"/>
    <w:rsid w:val="008D1461"/>
    <w:rsid w:val="00B07AD5"/>
    <w:rsid w:val="00BB2A76"/>
    <w:rsid w:val="00D82F7D"/>
    <w:rsid w:val="00E52435"/>
    <w:rsid w:val="00E574B7"/>
    <w:rsid w:val="00FE2195"/>
    <w:rsid w:val="6BEFBEBD"/>
    <w:rsid w:val="DD3A2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149</Words>
  <Characters>855</Characters>
  <Lines>7</Lines>
  <Paragraphs>2</Paragraphs>
  <TotalTime>5</TotalTime>
  <ScaleCrop>false</ScaleCrop>
  <LinksUpToDate>false</LinksUpToDate>
  <CharactersWithSpaces>1002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2026-04-13T16:46:00Z</dcterms:created>
  <dc:creator>Administrator</dc:creator>
  <cp:lastModifiedBy>xcb</cp:lastModifiedBy>
  <dcterms:modified xsi:type="dcterms:W3CDTF">2026-04-21T18:12:19Z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